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F4" w:rsidRDefault="007959F4" w:rsidP="007959F4">
      <w:pPr>
        <w:spacing w:before="100" w:beforeAutospacing="1" w:after="100" w:afterAutospacing="1"/>
      </w:pPr>
      <w:r>
        <w:t xml:space="preserve">                                         ОКВЭД-2. Вид деятельности «Туризм»  </w:t>
      </w:r>
    </w:p>
    <w:p w:rsidR="007959F4" w:rsidRDefault="007959F4" w:rsidP="007959F4">
      <w:pPr>
        <w:rPr>
          <w:sz w:val="24"/>
          <w:szCs w:val="24"/>
        </w:rPr>
      </w:pPr>
    </w:p>
    <w:p w:rsidR="007959F4" w:rsidRPr="007F1697" w:rsidRDefault="007959F4" w:rsidP="007959F4">
      <w:pPr>
        <w:rPr>
          <w:sz w:val="24"/>
          <w:szCs w:val="24"/>
        </w:rPr>
      </w:pPr>
    </w:p>
    <w:tbl>
      <w:tblPr>
        <w:tblW w:w="7142" w:type="dxa"/>
        <w:tblCellMar>
          <w:left w:w="0" w:type="dxa"/>
          <w:right w:w="0" w:type="dxa"/>
        </w:tblCellMar>
        <w:tblLook w:val="04A0"/>
      </w:tblPr>
      <w:tblGrid>
        <w:gridCol w:w="423"/>
        <w:gridCol w:w="2402"/>
        <w:gridCol w:w="3426"/>
        <w:gridCol w:w="891"/>
      </w:tblGrid>
      <w:tr w:rsidR="007959F4" w:rsidRPr="007959F4" w:rsidTr="00E801EF"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r w:rsidRPr="007959F4">
              <w:rPr>
                <w:b/>
                <w:bCs/>
              </w:rPr>
              <w:t>№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r w:rsidRPr="007959F4">
              <w:rPr>
                <w:b/>
                <w:bCs/>
              </w:rPr>
              <w:t>Наименование деятельности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r w:rsidRPr="007959F4">
              <w:rPr>
                <w:b/>
                <w:bCs/>
              </w:rPr>
              <w:t>Наименование группировки ОКВЭД 2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r w:rsidRPr="007959F4">
              <w:rPr>
                <w:b/>
                <w:bCs/>
              </w:rPr>
              <w:t>Код</w:t>
            </w:r>
          </w:p>
          <w:p w:rsidR="007959F4" w:rsidRPr="007959F4" w:rsidRDefault="007959F4" w:rsidP="00E801EF">
            <w:r w:rsidRPr="007959F4">
              <w:rPr>
                <w:b/>
                <w:bCs/>
              </w:rPr>
              <w:t>ОКВЭД 2</w:t>
            </w:r>
          </w:p>
        </w:tc>
      </w:tr>
      <w:tr w:rsidR="007959F4" w:rsidRPr="007959F4" w:rsidTr="007959F4">
        <w:trPr>
          <w:trHeight w:val="492"/>
        </w:trPr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1.</w:t>
            </w:r>
          </w:p>
        </w:tc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Размещение посетителей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гостиниц и прочих мест для временного проживания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55.1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по предоставлению мест для краткосрочного проживания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55.2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55.3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по предоставлению прочих мест для временного проживания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55.9</w:t>
            </w:r>
          </w:p>
        </w:tc>
      </w:tr>
      <w:tr w:rsidR="007959F4" w:rsidRPr="007959F4" w:rsidTr="00E801EF"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2.</w:t>
            </w:r>
          </w:p>
        </w:tc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по предоставлению услуг общественного питания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ресторанов и услуги по доставке продуктов питания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56.1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организаций общественного питания, поставляющих готовую пищу (для транспортных и строительных компаний, туристическим группам, личному составу вооруженных сил, предприятиям розничной торговли и другим группам потребителей) по договору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56.29.1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Подача напитков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56.3</w:t>
            </w:r>
          </w:p>
        </w:tc>
      </w:tr>
      <w:tr w:rsidR="007959F4" w:rsidRPr="007959F4" w:rsidTr="00E801EF"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3.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Железнодорожные пассажирские перевозки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49.1</w:t>
            </w:r>
          </w:p>
        </w:tc>
      </w:tr>
      <w:tr w:rsidR="007959F4" w:rsidRPr="007959F4" w:rsidTr="00E801EF"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4.</w:t>
            </w:r>
          </w:p>
        </w:tc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Автомобильные пассажирские перевозки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49.39.11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49.39.12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Перевозка пассажиров фуникулерами, подвесными канатными дорогами и подъемниками, являющимися частью городской или пригородной транспортной системы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49.31.25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49.39.2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такси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49.32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Перевозки пассажиров сухопутным транспортом нерегулярные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49.39.3</w:t>
            </w:r>
          </w:p>
        </w:tc>
      </w:tr>
      <w:tr w:rsidR="007959F4" w:rsidRPr="007959F4" w:rsidTr="00E801EF"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5.</w:t>
            </w:r>
          </w:p>
        </w:tc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Водные пассажирские перевозки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морского пассажирского транспорта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50.1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внутреннего водного пассажирского транспорта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50.3</w:t>
            </w:r>
          </w:p>
        </w:tc>
      </w:tr>
      <w:tr w:rsidR="007959F4" w:rsidRPr="007959F4" w:rsidTr="00E801EF"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6.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Воздушные пассажирские перевозки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пассажирского воздушного транспорта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51.1</w:t>
            </w:r>
          </w:p>
        </w:tc>
      </w:tr>
      <w:tr w:rsidR="007959F4" w:rsidRPr="007959F4" w:rsidTr="00E801EF"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7.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Аренда автотранспорта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Аренда и лизинг легковых автомобилей и легких автотранспортных средств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77.11</w:t>
            </w:r>
          </w:p>
        </w:tc>
      </w:tr>
      <w:tr w:rsidR="007959F4" w:rsidRPr="007959F4" w:rsidTr="00E801EF"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8.</w:t>
            </w:r>
          </w:p>
        </w:tc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туристических агентств и туроператоров, а также деятельность в сфере предоставления услуг по бронированию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туристических агентств и туроператоров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79.1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Услуги по бронированию прочие и сопутствующая деятельность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79.9</w:t>
            </w:r>
          </w:p>
        </w:tc>
      </w:tr>
      <w:tr w:rsidR="007959F4" w:rsidRPr="007959F4" w:rsidTr="00E801EF"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9.</w:t>
            </w:r>
          </w:p>
        </w:tc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в сфере культуры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в области демонстрации кинофильмов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59.14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по организации конференций и выставок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82.30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в области исполнительских искусств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90.01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вспомогательная, связанная с исполнительскими искусствами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90.02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в области художественного творчества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90.03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концертных залов, театров, оперных зданий, мюзик-холлов, включая услуги билетных касс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90.04.1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музеев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91.02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по охране исторических мест и зданий, памятников культуры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91.03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91.04</w:t>
            </w:r>
          </w:p>
        </w:tc>
      </w:tr>
      <w:tr w:rsidR="007959F4" w:rsidRPr="007959F4" w:rsidTr="00E801EF"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10.</w:t>
            </w:r>
          </w:p>
        </w:tc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Спортивно</w:t>
            </w:r>
            <w:r w:rsidRPr="007959F4">
              <w:softHyphen/>
              <w:t xml:space="preserve"> развлекательная деятельность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в области спорта прочая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93.19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по организации и проведению азартных игр и заключения пари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92.1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в области отдыха и развлечений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93.2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Прокат и аренда товаров для отдыха и спортивных товаров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77.21</w:t>
            </w:r>
          </w:p>
        </w:tc>
      </w:tr>
      <w:tr w:rsidR="007959F4" w:rsidRPr="007959F4" w:rsidTr="00E801EF"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11.</w:t>
            </w:r>
          </w:p>
        </w:tc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Розничная торговля туристскими товарами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Торговля розничная изделиями из кожи и дорожными принадлежностями в специализированных магазинах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47.72.2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47.64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Торговля розничная сувенирами, изделиями народных художественных промыслов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47.78.3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коммерческих художественных галерей, торговля розничная произведениями искусства в коммерческих художественных галереях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47.78.5</w:t>
            </w:r>
          </w:p>
        </w:tc>
      </w:tr>
      <w:tr w:rsidR="007959F4" w:rsidRPr="007959F4" w:rsidTr="00E801EF"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lastRenderedPageBreak/>
              <w:t>12.</w:t>
            </w:r>
          </w:p>
        </w:tc>
        <w:tc>
          <w:tcPr>
            <w:tcW w:w="0" w:type="auto"/>
            <w:vMerge w:val="restart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Характерные виды туристской деятельности с учетом специфики России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Страхование гражданской ответственности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65.12.3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Страхование для путешественника, выезжающего за пределы постоянного проживания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65.12.6</w:t>
            </w:r>
          </w:p>
        </w:tc>
      </w:tr>
      <w:tr w:rsidR="007959F4" w:rsidRPr="007959F4" w:rsidTr="00E801EF"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vMerge/>
            <w:vAlign w:val="center"/>
            <w:hideMark/>
          </w:tcPr>
          <w:p w:rsidR="007959F4" w:rsidRPr="007959F4" w:rsidRDefault="007959F4" w:rsidP="00E801EF"/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Деятельность санаторно-курортных организаций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115" w:type="dxa"/>
            </w:tcMar>
            <w:hideMark/>
          </w:tcPr>
          <w:p w:rsidR="007959F4" w:rsidRPr="007959F4" w:rsidRDefault="007959F4" w:rsidP="00E801EF">
            <w:pPr>
              <w:spacing w:after="240"/>
            </w:pPr>
            <w:r w:rsidRPr="007959F4">
              <w:t>86.90.4</w:t>
            </w:r>
          </w:p>
        </w:tc>
      </w:tr>
    </w:tbl>
    <w:p w:rsidR="007959F4" w:rsidRPr="007F1697" w:rsidRDefault="007959F4" w:rsidP="007959F4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7F1697">
        <w:rPr>
          <w:rFonts w:ascii="Arial" w:hAnsi="Arial" w:cs="Arial"/>
          <w:color w:val="333333"/>
          <w:sz w:val="24"/>
          <w:szCs w:val="24"/>
        </w:rPr>
        <w:br/>
      </w:r>
    </w:p>
    <w:p w:rsidR="007959F4" w:rsidRPr="007F1697" w:rsidRDefault="007959F4" w:rsidP="007959F4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4"/>
          <w:szCs w:val="24"/>
        </w:rPr>
      </w:pPr>
      <w:r w:rsidRPr="007F1697">
        <w:rPr>
          <w:rFonts w:ascii="Arial" w:hAnsi="Arial" w:cs="Arial"/>
          <w:vanish/>
          <w:sz w:val="24"/>
          <w:szCs w:val="24"/>
        </w:rPr>
        <w:t>Конец формы</w:t>
      </w:r>
    </w:p>
    <w:p w:rsidR="007959F4" w:rsidRPr="007F1697" w:rsidRDefault="007959F4" w:rsidP="007959F4">
      <w:pPr>
        <w:rPr>
          <w:sz w:val="24"/>
          <w:szCs w:val="24"/>
        </w:rPr>
      </w:pPr>
    </w:p>
    <w:p w:rsidR="00E32D15" w:rsidRDefault="007959F4"/>
    <w:sectPr w:rsidR="00E32D1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59F4"/>
    <w:rsid w:val="005A63DE"/>
    <w:rsid w:val="007959F4"/>
    <w:rsid w:val="00CA6D40"/>
    <w:rsid w:val="00CB237D"/>
    <w:rsid w:val="00D63457"/>
    <w:rsid w:val="00EC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2017-01-20T14:45:00Z</dcterms:created>
  <dcterms:modified xsi:type="dcterms:W3CDTF">2017-01-20T14:57:00Z</dcterms:modified>
</cp:coreProperties>
</file>